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8106" w14:textId="50C8F06E" w:rsidR="00F1078D" w:rsidRPr="00375F48" w:rsidRDefault="00F1078D" w:rsidP="001E38D6">
      <w:pPr>
        <w:tabs>
          <w:tab w:val="right" w:pos="9638"/>
        </w:tabs>
        <w:spacing w:after="120" w:line="276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p w14:paraId="7F9F001B" w14:textId="06A69A2F" w:rsidR="00D63E02" w:rsidRPr="00375F48" w:rsidRDefault="00D63E02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0"/>
      </w:tblGrid>
      <w:tr w:rsidR="00D63E02" w:rsidRPr="00375F48" w14:paraId="4DBE30A7" w14:textId="77777777" w:rsidTr="00D63E02">
        <w:tc>
          <w:tcPr>
            <w:tcW w:w="9610" w:type="dxa"/>
          </w:tcPr>
          <w:p w14:paraId="04ECF0BD" w14:textId="77777777" w:rsidR="00D63E02" w:rsidRPr="00375F48" w:rsidRDefault="00D63E02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6967C2" w14:textId="4F582E16" w:rsidR="00CC7484" w:rsidRPr="00375F48" w:rsidRDefault="00CC7484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45D52D5" w14:textId="2443E6EE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BE39B49" w14:textId="77777777"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375F48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5ABE3" w14:textId="17C11DA9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78D1AEA" w14:textId="6B1CB9ED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  <w:p w14:paraId="4B4E4A6A" w14:textId="4E4D5A09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PER L’AFFIDAMENTO DEL</w:t>
            </w:r>
            <w:r w:rsidR="00BA65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SERVIZIO</w:t>
            </w:r>
            <w:bookmarkStart w:id="0" w:name="_Hlk114659311"/>
            <w:r w:rsidRPr="00375F4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</w:t>
            </w:r>
            <w:bookmarkStart w:id="1" w:name="_Hlk113989825"/>
            <w:bookmarkStart w:id="2" w:name="_Hlk88492261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…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]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 xml:space="preserve">[indicare </w:t>
            </w:r>
            <w:r w:rsidR="00BA6548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Servizio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  <w:t>]</w:t>
            </w:r>
            <w:r w:rsidR="007B710A">
              <w:rPr>
                <w:rFonts w:asciiTheme="minorHAnsi" w:hAnsiTheme="minorHAnsi" w:cstheme="minorHAnsi"/>
                <w:b/>
                <w:sz w:val="22"/>
                <w:szCs w:val="22"/>
              </w:rPr>
              <w:t>, nell’ambito della Missione 4 – Componente 1 – Investimento 3.</w:t>
            </w:r>
            <w:r w:rsidR="00BA654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B71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PNRR, finanziato dall’Unione europea – </w:t>
            </w:r>
            <w:r w:rsidR="007B710A" w:rsidRPr="007B71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Next Generation EU</w:t>
            </w:r>
          </w:p>
          <w:bookmarkEnd w:id="0"/>
          <w:bookmarkEnd w:id="1"/>
          <w:p w14:paraId="1589A252" w14:textId="77777777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C.I.G. </w:t>
            </w:r>
            <w:bookmarkStart w:id="3" w:name="_Hlk113989644"/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</w:rPr>
              <w:t>[…]</w:t>
            </w:r>
            <w:bookmarkEnd w:id="3"/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C24E726" w14:textId="77777777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CUP: </w:t>
            </w:r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</w:rPr>
              <w:t>[…]</w:t>
            </w:r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bookmarkEnd w:id="2"/>
          <w:p w14:paraId="357145A1" w14:textId="77777777" w:rsidR="00D63E02" w:rsidRPr="00375F48" w:rsidRDefault="00D63E02" w:rsidP="001E38D6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14:paraId="044B154A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7C5FBE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60B36" w14:textId="13D3F69A" w:rsidR="003E7607" w:rsidRDefault="003E760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840EB" w14:textId="62CF6271" w:rsid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00788B" w14:textId="321D5120" w:rsid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E104B" w14:textId="77777777" w:rsidR="00375F48" w:rsidRP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="-431" w:tblpY="-2"/>
        <w:tblW w:w="106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75F48" w:rsidRPr="001D77C5" w14:paraId="13899171" w14:textId="77777777" w:rsidTr="002867D7">
        <w:tc>
          <w:tcPr>
            <w:tcW w:w="10632" w:type="dxa"/>
          </w:tcPr>
          <w:p w14:paraId="1DEE0926" w14:textId="77777777" w:rsidR="00375F48" w:rsidRPr="001D77C5" w:rsidRDefault="00375F48" w:rsidP="002867D7">
            <w:pPr>
              <w:pStyle w:val="Testonormale"/>
              <w:spacing w:line="240" w:lineRule="auto"/>
              <w:jc w:val="both"/>
              <w:rPr>
                <w:rFonts w:ascii="Calibri" w:hAnsi="Calibri" w:cs="Calibri"/>
              </w:rPr>
            </w:pPr>
            <w:r w:rsidRPr="001D77C5">
              <w:rPr>
                <w:rFonts w:ascii="Calibri" w:hAnsi="Calibri" w:cs="Calibri"/>
              </w:rPr>
              <w:t>Per favorire una compilazione più veloce, il testo è stato così suddiviso:</w:t>
            </w:r>
          </w:p>
          <w:p w14:paraId="1F70DC47" w14:textId="77777777" w:rsidR="00375F48" w:rsidRPr="001D77C5" w:rsidRDefault="00375F48" w:rsidP="00375F48">
            <w:pPr>
              <w:widowControl/>
              <w:numPr>
                <w:ilvl w:val="0"/>
                <w:numId w:val="48"/>
              </w:numPr>
              <w:adjustRightInd/>
              <w:spacing w:before="120" w:after="120" w:line="276" w:lineRule="auto"/>
              <w:textAlignment w:val="auto"/>
              <w:rPr>
                <w:rFonts w:ascii="Calibri" w:hAnsi="Calibri" w:cs="Calibri"/>
              </w:rPr>
            </w:pPr>
            <w:r w:rsidRPr="001D77C5">
              <w:rPr>
                <w:rFonts w:ascii="Calibri" w:hAnsi="Calibri" w:cs="Calibri"/>
              </w:rPr>
              <w:t xml:space="preserve">testo evidenziato in </w:t>
            </w:r>
            <w:r w:rsidRPr="001D77C5">
              <w:rPr>
                <w:rFonts w:ascii="Calibri" w:hAnsi="Calibri" w:cs="Calibri"/>
                <w:highlight w:val="green"/>
              </w:rPr>
              <w:t>verde</w:t>
            </w:r>
            <w:r w:rsidRPr="001D77C5">
              <w:rPr>
                <w:rFonts w:ascii="Calibri" w:hAnsi="Calibri" w:cs="Calibri"/>
              </w:rPr>
              <w:t>: si riferisce alle parti da compilare sempre (le specifiche sono indicate tra parentesi);</w:t>
            </w:r>
          </w:p>
          <w:p w14:paraId="47BF5E18" w14:textId="77777777" w:rsidR="00375F48" w:rsidRPr="001D77C5" w:rsidRDefault="00375F48" w:rsidP="00375F48">
            <w:pPr>
              <w:widowControl/>
              <w:numPr>
                <w:ilvl w:val="0"/>
                <w:numId w:val="48"/>
              </w:numPr>
              <w:adjustRightInd/>
              <w:spacing w:before="120" w:after="120" w:line="276" w:lineRule="auto"/>
              <w:textAlignment w:val="auto"/>
              <w:rPr>
                <w:rFonts w:ascii="Calibri" w:hAnsi="Calibri" w:cs="Calibri"/>
              </w:rPr>
            </w:pPr>
            <w:r w:rsidRPr="001D77C5">
              <w:rPr>
                <w:rFonts w:ascii="Calibri" w:hAnsi="Calibri" w:cs="Calibri"/>
              </w:rPr>
              <w:t xml:space="preserve">testo evidenziato in </w:t>
            </w:r>
            <w:r w:rsidRPr="001D77C5">
              <w:rPr>
                <w:rFonts w:ascii="Calibri" w:hAnsi="Calibri" w:cs="Calibri"/>
                <w:highlight w:val="yellow"/>
              </w:rPr>
              <w:t>giallo</w:t>
            </w:r>
            <w:r w:rsidRPr="001D77C5">
              <w:rPr>
                <w:rFonts w:ascii="Calibri" w:hAnsi="Calibri" w:cs="Calibri"/>
              </w:rPr>
              <w:t>: si riferisce alle parti da inserire solo "in caso di" o qualora lo si ritenga opportuno.</w:t>
            </w:r>
          </w:p>
        </w:tc>
      </w:tr>
    </w:tbl>
    <w:p w14:paraId="50597FFD" w14:textId="25939A2B" w:rsidR="002970E9" w:rsidRPr="00375F48" w:rsidRDefault="002970E9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E3405" w14:textId="2C6E79D6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4CE4D" w14:textId="5BAB255B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4F58A" w14:textId="520C9509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E554F" w14:textId="6BDB85C6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7E11B" w14:textId="4673C377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1E9354" w14:textId="77777777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85305" w14:textId="10DC47F9" w:rsidR="008A4DF4" w:rsidRPr="00375F48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5F2EE4BE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35288E6C" w14:textId="0883FCF1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in relazione</w:t>
      </w:r>
      <w:r w:rsidR="00BF2B57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all</w:t>
      </w:r>
      <w:r w:rsidR="00A236DA" w:rsidRPr="00375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5F48">
        <w:rPr>
          <w:rFonts w:asciiTheme="minorHAnsi" w:hAnsiTheme="minorHAnsi" w:cstheme="minorHAnsi"/>
          <w:sz w:val="22"/>
          <w:szCs w:val="22"/>
          <w:lang w:eastAsia="en-US"/>
        </w:rPr>
        <w:t xml:space="preserve"> Richiesta di Preventivi [</w:t>
      </w:r>
      <w:r w:rsidR="00375F48"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o, in alternativa </w:t>
      </w:r>
      <w:r w:rsid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“</w:t>
      </w:r>
      <w:r w:rsidR="00375F48"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alle Condizioni di </w:t>
      </w:r>
      <w:r w:rsidR="00BA65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Servizio</w:t>
      </w:r>
      <w:r w:rsidR="00375F48"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”</w:t>
      </w:r>
      <w:r w:rsid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="00A236DA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per la procedura in oggetto, di partecipare alla procedura medesima:</w:t>
      </w:r>
    </w:p>
    <w:p w14:paraId="6FECA751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7307ED" w:rsidRPr="00375F48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14:paraId="176501D6" w14:textId="77777777" w:rsidTr="00A25CB0">
        <w:tc>
          <w:tcPr>
            <w:tcW w:w="360" w:type="dxa"/>
          </w:tcPr>
          <w:p w14:paraId="0979B4A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1D156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3352F2CB" w14:textId="77777777" w:rsidTr="00A25CB0">
        <w:tc>
          <w:tcPr>
            <w:tcW w:w="360" w:type="dxa"/>
          </w:tcPr>
          <w:p w14:paraId="19041C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539BDE81" w14:textId="77777777" w:rsidTr="00A25CB0">
        <w:tc>
          <w:tcPr>
            <w:tcW w:w="360" w:type="dxa"/>
          </w:tcPr>
          <w:p w14:paraId="1039119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2E9FD2E" w14:textId="77777777" w:rsidTr="00A25CB0">
        <w:tc>
          <w:tcPr>
            <w:tcW w:w="360" w:type="dxa"/>
          </w:tcPr>
          <w:p w14:paraId="1DB3EA22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3828089" w14:textId="77777777" w:rsidTr="00A25CB0">
        <w:tc>
          <w:tcPr>
            <w:tcW w:w="360" w:type="dxa"/>
          </w:tcPr>
          <w:p w14:paraId="15A2CE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1F4EFE54" w14:textId="77777777" w:rsidTr="00A25CB0">
        <w:tc>
          <w:tcPr>
            <w:tcW w:w="360" w:type="dxa"/>
          </w:tcPr>
          <w:p w14:paraId="0089D4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42A70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375F48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375F48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d.P.R.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183097E9"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</w:t>
      </w:r>
      <w:r w:rsidR="00BA654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del D.L. n. 77/2021;</w:t>
      </w:r>
    </w:p>
    <w:p w14:paraId="2ED46326" w14:textId="48DA268D"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F76875" w14:textId="0F8D92CE"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5AAD8AB3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aver preso conoscenza del contenuto </w:t>
      </w:r>
      <w:r w:rsidR="00A236D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della </w:t>
      </w:r>
      <w:r w:rsidR="00E62E69">
        <w:rPr>
          <w:rFonts w:asciiTheme="minorHAnsi" w:hAnsiTheme="minorHAnsi" w:cstheme="minorHAnsi"/>
          <w:color w:val="000000"/>
          <w:sz w:val="22"/>
          <w:szCs w:val="22"/>
        </w:rPr>
        <w:t>Richiesta di Preventivi [</w:t>
      </w:r>
      <w:r w:rsidR="00E62E69" w:rsidRPr="00E62E69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highlight w:val="yellow"/>
        </w:rPr>
        <w:t>o, delle Condizioni di Servizio</w:t>
      </w:r>
      <w:r w:rsidR="00E62E69">
        <w:rPr>
          <w:rFonts w:asciiTheme="minorHAnsi" w:hAnsiTheme="minorHAnsi" w:cstheme="minorHAnsi"/>
          <w:color w:val="000000"/>
          <w:sz w:val="22"/>
          <w:szCs w:val="22"/>
        </w:rPr>
        <w:t xml:space="preserve">]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e 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 specialis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14:paraId="3141566A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14:paraId="282D12DC" w14:textId="7A2DD8EE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8DCA25" w14:textId="7129C2A7" w:rsidR="00480644" w:rsidRPr="00480644" w:rsidRDefault="00DC078D" w:rsidP="00480644">
      <w:pPr>
        <w:widowControl/>
        <w:adjustRightInd/>
        <w:spacing w:after="120" w:line="276" w:lineRule="auto"/>
        <w:textAlignment w:val="auto"/>
        <w:rPr>
          <w:rFonts w:ascii="Calibri" w:hAnsi="Calibri" w:cs="Calibri"/>
          <w:b/>
          <w:sz w:val="22"/>
          <w:szCs w:val="22"/>
        </w:rPr>
      </w:pPr>
      <w:r w:rsidRPr="00480644">
        <w:rPr>
          <w:rFonts w:ascii="Calibri" w:hAnsi="Calibri" w:cs="Calibri"/>
          <w:b/>
          <w:sz w:val="22"/>
          <w:szCs w:val="22"/>
        </w:rPr>
        <w:t>A</w:t>
      </w:r>
      <w:r w:rsidR="00387F1D" w:rsidRPr="00480644">
        <w:rPr>
          <w:rFonts w:ascii="Calibri" w:hAnsi="Calibri" w:cs="Calibri"/>
          <w:b/>
          <w:sz w:val="22"/>
          <w:szCs w:val="22"/>
        </w:rPr>
        <w:t>.</w:t>
      </w:r>
      <w:r w:rsidR="004B1904" w:rsidRPr="00480644">
        <w:rPr>
          <w:rFonts w:ascii="Calibri" w:hAnsi="Calibri" w:cs="Calibri"/>
          <w:b/>
          <w:sz w:val="22"/>
          <w:szCs w:val="22"/>
        </w:rPr>
        <w:t>1</w:t>
      </w:r>
      <w:r w:rsidR="00387F1D" w:rsidRPr="00480644">
        <w:rPr>
          <w:rFonts w:ascii="Calibri" w:hAnsi="Calibri" w:cs="Calibri"/>
          <w:b/>
          <w:sz w:val="22"/>
          <w:szCs w:val="22"/>
        </w:rPr>
        <w:t xml:space="preserve">) </w:t>
      </w:r>
      <w:r w:rsidR="00480644" w:rsidRPr="00480644">
        <w:rPr>
          <w:rFonts w:ascii="Calibri" w:hAnsi="Calibri" w:cs="Calibri"/>
          <w:b/>
          <w:sz w:val="22"/>
          <w:szCs w:val="22"/>
        </w:rPr>
        <w:t>Informazioni relative al subappalto</w:t>
      </w:r>
    </w:p>
    <w:p w14:paraId="5D90CA33" w14:textId="77777777" w:rsidR="00480644" w:rsidRPr="00480644" w:rsidRDefault="00480644" w:rsidP="00480644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 w:rsidRPr="00480644">
        <w:rPr>
          <w:rFonts w:ascii="Calibri" w:hAnsi="Calibri" w:cs="Calibri"/>
          <w:bCs/>
          <w:sz w:val="22"/>
          <w:szCs w:val="22"/>
        </w:rPr>
        <w:t>[</w:t>
      </w:r>
      <w:r w:rsidRPr="00480644">
        <w:rPr>
          <w:rFonts w:ascii="Calibri" w:hAnsi="Calibri" w:cs="Calibri"/>
          <w:b/>
          <w:i/>
          <w:sz w:val="22"/>
          <w:szCs w:val="22"/>
        </w:rPr>
        <w:t>clausole a selezione alternativa</w:t>
      </w:r>
      <w:r w:rsidRPr="00480644">
        <w:rPr>
          <w:rFonts w:ascii="Calibri" w:hAnsi="Calibri" w:cs="Calibri"/>
          <w:bCs/>
          <w:sz w:val="22"/>
          <w:szCs w:val="22"/>
        </w:rPr>
        <w:t>]</w:t>
      </w:r>
    </w:p>
    <w:p w14:paraId="16AA01CA" w14:textId="77777777" w:rsidR="00480644" w:rsidRPr="00480644" w:rsidRDefault="00480644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 xml:space="preserve"> che </w:t>
      </w:r>
      <w:r w:rsidRPr="00480644">
        <w:rPr>
          <w:rFonts w:ascii="Calibri" w:hAnsi="Calibri" w:cs="Calibri"/>
          <w:b/>
          <w:bCs/>
          <w:sz w:val="22"/>
          <w:szCs w:val="22"/>
        </w:rPr>
        <w:t>non</w:t>
      </w:r>
      <w:r w:rsidRPr="00480644">
        <w:rPr>
          <w:rFonts w:ascii="Calibri" w:hAnsi="Calibri" w:cs="Calibri"/>
          <w:sz w:val="22"/>
          <w:szCs w:val="22"/>
        </w:rPr>
        <w:t xml:space="preserve"> intende subappaltare o concedere in cottimo parte delle prestazioni;</w:t>
      </w:r>
    </w:p>
    <w:p w14:paraId="13134E25" w14:textId="77777777" w:rsidR="00480644" w:rsidRPr="00480644" w:rsidRDefault="00480644" w:rsidP="00480644">
      <w:pPr>
        <w:spacing w:after="120" w:line="276" w:lineRule="auto"/>
        <w:rPr>
          <w:rFonts w:ascii="Calibri" w:hAnsi="Calibri" w:cs="Calibri"/>
          <w:i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[</w:t>
      </w:r>
      <w:r w:rsidRPr="00480644">
        <w:rPr>
          <w:rFonts w:ascii="Calibri" w:hAnsi="Calibri" w:cs="Calibri"/>
          <w:b/>
          <w:bCs/>
          <w:i/>
          <w:sz w:val="22"/>
          <w:szCs w:val="22"/>
        </w:rPr>
        <w:t>ovvero</w:t>
      </w:r>
      <w:r w:rsidRPr="00480644">
        <w:rPr>
          <w:rFonts w:ascii="Calibri" w:hAnsi="Calibri" w:cs="Calibri"/>
          <w:sz w:val="22"/>
          <w:szCs w:val="22"/>
        </w:rPr>
        <w:t>]</w:t>
      </w:r>
    </w:p>
    <w:p w14:paraId="66A997EA" w14:textId="77777777" w:rsidR="00480644" w:rsidRPr="00480644" w:rsidRDefault="00480644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che intende subappaltare o concedere in cottimo parte delle prestazioni;</w:t>
      </w:r>
    </w:p>
    <w:p w14:paraId="1335C7DF" w14:textId="77777777" w:rsidR="00480644" w:rsidRPr="00480644" w:rsidRDefault="00480644" w:rsidP="00480644">
      <w:pPr>
        <w:spacing w:after="12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>[</w:t>
      </w:r>
      <w:r w:rsidRPr="00480644">
        <w:rPr>
          <w:rFonts w:ascii="Calibri" w:hAnsi="Calibri" w:cs="Calibri"/>
          <w:i/>
          <w:sz w:val="22"/>
          <w:szCs w:val="22"/>
        </w:rPr>
        <w:t xml:space="preserve">compilare i seguenti campi </w:t>
      </w:r>
      <w:r w:rsidRPr="00480644">
        <w:rPr>
          <w:rFonts w:ascii="Calibri" w:hAnsi="Calibri" w:cs="Calibri"/>
          <w:b/>
          <w:bCs/>
          <w:i/>
          <w:sz w:val="22"/>
          <w:szCs w:val="22"/>
          <w:u w:val="single"/>
        </w:rPr>
        <w:t>solo in caso</w:t>
      </w:r>
      <w:r w:rsidRPr="00480644">
        <w:rPr>
          <w:rFonts w:ascii="Calibri" w:hAnsi="Calibri" w:cs="Calibri"/>
          <w:i/>
          <w:sz w:val="22"/>
          <w:szCs w:val="22"/>
        </w:rPr>
        <w:t xml:space="preserve"> di subappalto o di cottimo</w:t>
      </w:r>
      <w:r w:rsidRPr="00480644">
        <w:rPr>
          <w:rFonts w:ascii="Calibri" w:hAnsi="Calibri" w:cs="Calibri"/>
          <w:sz w:val="22"/>
          <w:szCs w:val="22"/>
        </w:rPr>
        <w:t>]</w:t>
      </w:r>
    </w:p>
    <w:p w14:paraId="11418404" w14:textId="3A3690DC" w:rsidR="00480644" w:rsidRPr="00480644" w:rsidRDefault="00480644" w:rsidP="00480644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="Calibri" w:hAnsi="Calibri" w:cs="Calibri"/>
          <w:sz w:val="22"/>
          <w:szCs w:val="22"/>
        </w:rPr>
      </w:pPr>
      <w:r w:rsidRPr="00480644">
        <w:rPr>
          <w:rFonts w:ascii="Calibri" w:hAnsi="Calibri" w:cs="Calibri"/>
          <w:sz w:val="22"/>
          <w:szCs w:val="22"/>
        </w:rPr>
        <w:t xml:space="preserve">che la parte delle lavorazioni che intende subappaltare, nel rispetto dell’art. 119 del </w:t>
      </w:r>
      <w:r>
        <w:rPr>
          <w:rFonts w:ascii="Calibri" w:hAnsi="Calibri" w:cs="Calibri"/>
          <w:sz w:val="22"/>
          <w:szCs w:val="22"/>
        </w:rPr>
        <w:t>D.Lgs. n. 36/2023</w:t>
      </w:r>
      <w:r w:rsidRPr="00480644">
        <w:rPr>
          <w:rFonts w:ascii="Calibri" w:hAnsi="Calibri" w:cs="Calibri"/>
          <w:sz w:val="22"/>
          <w:szCs w:val="22"/>
        </w:rPr>
        <w:t xml:space="preserve"> è la seguente: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3496"/>
      </w:tblGrid>
      <w:tr w:rsidR="00480644" w:rsidRPr="00480644" w14:paraId="246BDAD3" w14:textId="77777777" w:rsidTr="00E24A82">
        <w:trPr>
          <w:jc w:val="center"/>
        </w:trPr>
        <w:tc>
          <w:tcPr>
            <w:tcW w:w="4296" w:type="dxa"/>
            <w:shd w:val="clear" w:color="auto" w:fill="D9D9D9" w:themeFill="background1" w:themeFillShade="D9"/>
          </w:tcPr>
          <w:p w14:paraId="1972444E" w14:textId="77777777" w:rsidR="00480644" w:rsidRPr="00480644" w:rsidRDefault="00480644" w:rsidP="00480644">
            <w:pPr>
              <w:pStyle w:val="Paragrafoelenco"/>
              <w:spacing w:after="120" w:line="276" w:lineRule="auto"/>
              <w:ind w:left="-835" w:firstLine="835"/>
              <w:jc w:val="center"/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</w:pPr>
            <w:r w:rsidRPr="00480644"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  <w:t>Oggetto del subappalto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14:paraId="4FB31650" w14:textId="77777777" w:rsidR="00480644" w:rsidRPr="00480644" w:rsidRDefault="00480644" w:rsidP="00480644">
            <w:pPr>
              <w:pStyle w:val="Paragrafoelenco"/>
              <w:spacing w:after="120" w:line="276" w:lineRule="auto"/>
              <w:ind w:left="0"/>
              <w:jc w:val="center"/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</w:pPr>
            <w:r w:rsidRPr="00480644">
              <w:rPr>
                <w:rFonts w:ascii="Calibri" w:hAnsi="Calibri" w:cs="Calibri"/>
                <w:b/>
                <w:iCs/>
                <w:smallCaps/>
                <w:sz w:val="22"/>
                <w:szCs w:val="22"/>
              </w:rPr>
              <w:t xml:space="preserve">Percentuale </w:t>
            </w:r>
          </w:p>
        </w:tc>
      </w:tr>
      <w:tr w:rsidR="00480644" w:rsidRPr="00480644" w14:paraId="1D8E9C22" w14:textId="77777777" w:rsidTr="00E24A82">
        <w:trPr>
          <w:trHeight w:val="697"/>
          <w:jc w:val="center"/>
        </w:trPr>
        <w:tc>
          <w:tcPr>
            <w:tcW w:w="4296" w:type="dxa"/>
          </w:tcPr>
          <w:p w14:paraId="58B6895F" w14:textId="77777777" w:rsidR="00480644" w:rsidRPr="00480644" w:rsidRDefault="00480644" w:rsidP="00480644">
            <w:pPr>
              <w:widowControl/>
              <w:adjustRightInd/>
              <w:spacing w:after="120" w:line="276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</w:tcPr>
          <w:p w14:paraId="6DC0EE9B" w14:textId="77777777" w:rsidR="00480644" w:rsidRPr="00480644" w:rsidRDefault="00480644" w:rsidP="00480644">
            <w:pPr>
              <w:widowControl/>
              <w:adjustRightInd/>
              <w:spacing w:after="120" w:line="276" w:lineRule="auto"/>
              <w:ind w:left="72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A69ACF" w14:textId="03088684" w:rsidR="00480644" w:rsidRDefault="00480644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449E651" w14:textId="45C1B11F" w:rsidR="00387F1D" w:rsidRPr="00375F48" w:rsidRDefault="00480644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A.2)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375F48" w:rsidRDefault="00593BE9" w:rsidP="00480644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lastRenderedPageBreak/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5C7CD953"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80644">
        <w:rPr>
          <w:rFonts w:asciiTheme="minorHAnsi" w:hAnsiTheme="minorHAnsi" w:cstheme="minorHAnsi"/>
          <w:b/>
          <w:sz w:val="22"/>
          <w:szCs w:val="22"/>
        </w:rPr>
        <w:t>3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375F48" w:rsidRDefault="00CB7DC7" w:rsidP="00820949">
      <w:pPr>
        <w:widowControl/>
        <w:numPr>
          <w:ilvl w:val="0"/>
          <w:numId w:val="3"/>
        </w:numPr>
        <w:tabs>
          <w:tab w:val="clear" w:pos="284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8F51404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627D408B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8"/>
      <w:headerReference w:type="first" r:id="rId9"/>
      <w:footerReference w:type="first" r:id="rId10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60E7" w14:textId="77777777" w:rsidR="00FF6DB0" w:rsidRDefault="00FF6DB0">
      <w:r>
        <w:separator/>
      </w:r>
    </w:p>
  </w:endnote>
  <w:endnote w:type="continuationSeparator" w:id="0">
    <w:p w14:paraId="4336290D" w14:textId="77777777" w:rsidR="00FF6DB0" w:rsidRDefault="00FF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C792" w14:textId="2A17945F" w:rsidR="00B05C70" w:rsidRPr="00890845" w:rsidRDefault="00000000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 w:rsidR="005069B2">
          <w:rPr>
            <w:noProof/>
            <w:sz w:val="16"/>
            <w:szCs w:val="16"/>
          </w:rPr>
          <w:t>14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F99ABD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6724" w14:textId="2E53B0C6" w:rsidR="0096764F" w:rsidRPr="00375F48" w:rsidRDefault="00000000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069B2" w:rsidRPr="00375F48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CEAF66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8969" w14:textId="77777777" w:rsidR="00FF6DB0" w:rsidRDefault="00FF6DB0">
      <w:r>
        <w:separator/>
      </w:r>
    </w:p>
  </w:footnote>
  <w:footnote w:type="continuationSeparator" w:id="0">
    <w:p w14:paraId="08074842" w14:textId="77777777" w:rsidR="00FF6DB0" w:rsidRDefault="00FF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48A68AC0"/>
    <w:lvl w:ilvl="0" w:tplc="85EEA25A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i/>
        <w:iCs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9202779">
    <w:abstractNumId w:val="34"/>
  </w:num>
  <w:num w:numId="2" w16cid:durableId="1539658278">
    <w:abstractNumId w:val="53"/>
  </w:num>
  <w:num w:numId="3" w16cid:durableId="2035223426">
    <w:abstractNumId w:val="35"/>
  </w:num>
  <w:num w:numId="4" w16cid:durableId="1366253145">
    <w:abstractNumId w:val="15"/>
  </w:num>
  <w:num w:numId="5" w16cid:durableId="1598363488">
    <w:abstractNumId w:val="36"/>
  </w:num>
  <w:num w:numId="6" w16cid:durableId="1367220997">
    <w:abstractNumId w:val="50"/>
  </w:num>
  <w:num w:numId="7" w16cid:durableId="795178947">
    <w:abstractNumId w:val="22"/>
  </w:num>
  <w:num w:numId="8" w16cid:durableId="1671635864">
    <w:abstractNumId w:val="37"/>
  </w:num>
  <w:num w:numId="9" w16cid:durableId="668362879">
    <w:abstractNumId w:val="24"/>
  </w:num>
  <w:num w:numId="10" w16cid:durableId="499660894">
    <w:abstractNumId w:val="21"/>
  </w:num>
  <w:num w:numId="11" w16cid:durableId="179123244">
    <w:abstractNumId w:val="47"/>
  </w:num>
  <w:num w:numId="12" w16cid:durableId="767889311">
    <w:abstractNumId w:val="6"/>
  </w:num>
  <w:num w:numId="13" w16cid:durableId="1561331055">
    <w:abstractNumId w:val="18"/>
  </w:num>
  <w:num w:numId="14" w16cid:durableId="1089228198">
    <w:abstractNumId w:val="7"/>
  </w:num>
  <w:num w:numId="15" w16cid:durableId="1795782525">
    <w:abstractNumId w:val="11"/>
  </w:num>
  <w:num w:numId="16" w16cid:durableId="1848329664">
    <w:abstractNumId w:val="52"/>
  </w:num>
  <w:num w:numId="17" w16cid:durableId="1477144556">
    <w:abstractNumId w:val="41"/>
  </w:num>
  <w:num w:numId="18" w16cid:durableId="1436051502">
    <w:abstractNumId w:val="25"/>
  </w:num>
  <w:num w:numId="19" w16cid:durableId="1765344288">
    <w:abstractNumId w:val="32"/>
  </w:num>
  <w:num w:numId="20" w16cid:durableId="1442844364">
    <w:abstractNumId w:val="4"/>
  </w:num>
  <w:num w:numId="21" w16cid:durableId="237176119">
    <w:abstractNumId w:val="33"/>
  </w:num>
  <w:num w:numId="22" w16cid:durableId="1715159887">
    <w:abstractNumId w:val="3"/>
  </w:num>
  <w:num w:numId="23" w16cid:durableId="406849024">
    <w:abstractNumId w:val="31"/>
  </w:num>
  <w:num w:numId="24" w16cid:durableId="386413187">
    <w:abstractNumId w:val="46"/>
  </w:num>
  <w:num w:numId="25" w16cid:durableId="1023288190">
    <w:abstractNumId w:val="12"/>
  </w:num>
  <w:num w:numId="26" w16cid:durableId="871459498">
    <w:abstractNumId w:val="2"/>
  </w:num>
  <w:num w:numId="27" w16cid:durableId="921913499">
    <w:abstractNumId w:val="23"/>
  </w:num>
  <w:num w:numId="28" w16cid:durableId="1131020849">
    <w:abstractNumId w:val="16"/>
  </w:num>
  <w:num w:numId="29" w16cid:durableId="735083806">
    <w:abstractNumId w:val="14"/>
  </w:num>
  <w:num w:numId="30" w16cid:durableId="97531665">
    <w:abstractNumId w:val="27"/>
  </w:num>
  <w:num w:numId="31" w16cid:durableId="869025067">
    <w:abstractNumId w:val="19"/>
  </w:num>
  <w:num w:numId="32" w16cid:durableId="318653720">
    <w:abstractNumId w:val="42"/>
  </w:num>
  <w:num w:numId="33" w16cid:durableId="1143543282">
    <w:abstractNumId w:val="40"/>
  </w:num>
  <w:num w:numId="34" w16cid:durableId="1548226606">
    <w:abstractNumId w:val="43"/>
  </w:num>
  <w:num w:numId="35" w16cid:durableId="639462317">
    <w:abstractNumId w:val="9"/>
  </w:num>
  <w:num w:numId="36" w16cid:durableId="1697193355">
    <w:abstractNumId w:val="28"/>
  </w:num>
  <w:num w:numId="37" w16cid:durableId="1712337331">
    <w:abstractNumId w:val="38"/>
  </w:num>
  <w:num w:numId="38" w16cid:durableId="1419331595">
    <w:abstractNumId w:val="13"/>
  </w:num>
  <w:num w:numId="39" w16cid:durableId="1187719625">
    <w:abstractNumId w:val="39"/>
  </w:num>
  <w:num w:numId="40" w16cid:durableId="84033443">
    <w:abstractNumId w:val="26"/>
  </w:num>
  <w:num w:numId="41" w16cid:durableId="1205606591">
    <w:abstractNumId w:val="49"/>
  </w:num>
  <w:num w:numId="42" w16cid:durableId="2120172473">
    <w:abstractNumId w:val="48"/>
  </w:num>
  <w:num w:numId="43" w16cid:durableId="2056082538">
    <w:abstractNumId w:val="44"/>
  </w:num>
  <w:num w:numId="44" w16cid:durableId="1747997306">
    <w:abstractNumId w:val="30"/>
  </w:num>
  <w:num w:numId="45" w16cid:durableId="1615137549">
    <w:abstractNumId w:val="10"/>
  </w:num>
  <w:num w:numId="46" w16cid:durableId="1553537850">
    <w:abstractNumId w:val="20"/>
  </w:num>
  <w:num w:numId="47" w16cid:durableId="1501311041">
    <w:abstractNumId w:val="29"/>
  </w:num>
  <w:num w:numId="48" w16cid:durableId="1780180906">
    <w:abstractNumId w:val="17"/>
  </w:num>
  <w:num w:numId="49" w16cid:durableId="992753414">
    <w:abstractNumId w:val="8"/>
  </w:num>
  <w:num w:numId="50" w16cid:durableId="44809224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12483013">
    <w:abstractNumId w:val="51"/>
  </w:num>
  <w:num w:numId="52" w16cid:durableId="290013669">
    <w:abstractNumId w:val="0"/>
  </w:num>
  <w:num w:numId="53" w16cid:durableId="1840080545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07F47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644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270E3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4568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0949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0BD4"/>
    <w:rsid w:val="00B71606"/>
    <w:rsid w:val="00B717BE"/>
    <w:rsid w:val="00B72DD3"/>
    <w:rsid w:val="00B73AA4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6548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6DB0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4D39-39F2-48DB-8D4E-92BF076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1969</Words>
  <Characters>11224</Characters>
  <Application>Microsoft Office Word</Application>
  <DocSecurity>0</DocSecurity>
  <Lines>93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2024-02-21T18:54:00Z</dcterms:created>
  <dcterms:modified xsi:type="dcterms:W3CDTF">2024-02-21T18:54:00Z</dcterms:modified>
</cp:coreProperties>
</file>